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B7EC" w14:textId="77777777" w:rsidR="007270B9" w:rsidRDefault="007270B9" w:rsidP="00A23CD4">
      <w:pPr>
        <w:pStyle w:val="BlockHeading"/>
        <w:spacing w:before="0" w:after="0"/>
        <w:ind w:left="505" w:right="28" w:hanging="221"/>
        <w:jc w:val="both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Advocacy support</w:t>
      </w:r>
    </w:p>
    <w:p w14:paraId="71A5ACF4" w14:textId="77777777" w:rsidR="007270B9" w:rsidRPr="00A23CD4" w:rsidRDefault="00791FC2" w:rsidP="00A23CD4">
      <w:pPr>
        <w:pStyle w:val="NormalWeb"/>
        <w:numPr>
          <w:ilvl w:val="0"/>
          <w:numId w:val="1"/>
        </w:numPr>
        <w:spacing w:before="0" w:beforeAutospacing="0" w:after="0" w:afterAutospacing="0"/>
        <w:ind w:left="568" w:hanging="284"/>
        <w:jc w:val="both"/>
        <w:rPr>
          <w:rFonts w:ascii="Arial" w:hAnsi="Arial" w:cs="Arial"/>
        </w:rPr>
      </w:pPr>
      <w:hyperlink r:id="rId5" w:history="1">
        <w:proofErr w:type="spellStart"/>
        <w:r w:rsidR="007270B9" w:rsidRPr="00A23CD4">
          <w:rPr>
            <w:rStyle w:val="Hyperlink"/>
            <w:rFonts w:ascii="Arial" w:hAnsi="Arial" w:cs="Arial"/>
          </w:rPr>
          <w:t>POhWER</w:t>
        </w:r>
        <w:proofErr w:type="spellEnd"/>
      </w:hyperlink>
      <w:r w:rsidR="007270B9" w:rsidRPr="00A23CD4">
        <w:rPr>
          <w:rFonts w:ascii="Arial" w:hAnsi="Arial" w:cs="Arial"/>
        </w:rPr>
        <w:t xml:space="preserve"> support centre can be contacted via 0300 456 2370</w:t>
      </w:r>
    </w:p>
    <w:p w14:paraId="7BE903C6" w14:textId="77777777" w:rsidR="007270B9" w:rsidRPr="00A23CD4" w:rsidRDefault="00791FC2" w:rsidP="00A23CD4">
      <w:pPr>
        <w:pStyle w:val="NormalWeb"/>
        <w:numPr>
          <w:ilvl w:val="0"/>
          <w:numId w:val="1"/>
        </w:numPr>
        <w:spacing w:before="0" w:beforeAutospacing="0" w:after="0" w:afterAutospacing="0"/>
        <w:ind w:left="568" w:hanging="284"/>
        <w:jc w:val="both"/>
        <w:rPr>
          <w:rFonts w:ascii="Arial" w:hAnsi="Arial" w:cs="Arial"/>
        </w:rPr>
      </w:pPr>
      <w:hyperlink r:id="rId6" w:history="1">
        <w:r w:rsidR="007270B9" w:rsidRPr="00A23CD4">
          <w:rPr>
            <w:rStyle w:val="Hyperlink"/>
            <w:rFonts w:ascii="Arial" w:hAnsi="Arial" w:cs="Arial"/>
          </w:rPr>
          <w:t>Advocacy People</w:t>
        </w:r>
      </w:hyperlink>
      <w:r w:rsidR="007270B9" w:rsidRPr="00A23CD4">
        <w:rPr>
          <w:rFonts w:ascii="Arial" w:hAnsi="Arial" w:cs="Arial"/>
        </w:rPr>
        <w:t xml:space="preserve"> gives advocacy support on 0330 440 9000</w:t>
      </w:r>
    </w:p>
    <w:p w14:paraId="3542BBF1" w14:textId="77777777" w:rsidR="007270B9" w:rsidRPr="00A23CD4" w:rsidRDefault="00791FC2" w:rsidP="00A23CD4">
      <w:pPr>
        <w:pStyle w:val="NormalWeb"/>
        <w:numPr>
          <w:ilvl w:val="0"/>
          <w:numId w:val="1"/>
        </w:numPr>
        <w:spacing w:before="0" w:beforeAutospacing="0" w:after="0" w:afterAutospacing="0"/>
        <w:ind w:left="568" w:hanging="284"/>
        <w:jc w:val="both"/>
        <w:rPr>
          <w:rFonts w:ascii="Arial" w:hAnsi="Arial" w:cs="Arial"/>
        </w:rPr>
      </w:pPr>
      <w:hyperlink r:id="rId7" w:history="1">
        <w:r w:rsidR="007270B9" w:rsidRPr="00A23CD4">
          <w:rPr>
            <w:rStyle w:val="Hyperlink"/>
            <w:rFonts w:ascii="Arial" w:hAnsi="Arial" w:cs="Arial"/>
          </w:rPr>
          <w:t>Age UK</w:t>
        </w:r>
      </w:hyperlink>
      <w:r w:rsidR="007270B9" w:rsidRPr="00A23CD4">
        <w:rPr>
          <w:rFonts w:ascii="Arial" w:hAnsi="Arial" w:cs="Arial"/>
        </w:rPr>
        <w:t xml:space="preserve"> on 0800 055 6112</w:t>
      </w:r>
    </w:p>
    <w:p w14:paraId="5C30CD83" w14:textId="77777777" w:rsidR="007270B9" w:rsidRPr="00A23CD4" w:rsidRDefault="007270B9" w:rsidP="00A23CD4">
      <w:pPr>
        <w:pStyle w:val="NormalWeb"/>
        <w:numPr>
          <w:ilvl w:val="0"/>
          <w:numId w:val="1"/>
        </w:numPr>
        <w:spacing w:before="0" w:beforeAutospacing="0" w:after="0" w:afterAutospacing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A23CD4">
        <w:rPr>
          <w:rFonts w:ascii="Arial" w:hAnsi="Arial" w:cs="Arial"/>
        </w:rPr>
        <w:t>Local Council can give advice on local advocacy services</w:t>
      </w:r>
    </w:p>
    <w:p w14:paraId="574906EF" w14:textId="77777777" w:rsidR="007270B9" w:rsidRPr="00113223" w:rsidRDefault="007270B9" w:rsidP="00A23CD4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sz w:val="4"/>
          <w:szCs w:val="4"/>
        </w:rPr>
      </w:pPr>
    </w:p>
    <w:p w14:paraId="279BF1B1" w14:textId="77777777" w:rsidR="007270B9" w:rsidRPr="006509C5" w:rsidRDefault="007270B9" w:rsidP="00A23CD4">
      <w:pPr>
        <w:pStyle w:val="NormalWeb"/>
        <w:spacing w:before="0" w:beforeAutospacing="0" w:after="0" w:afterAutospacing="0"/>
        <w:ind w:left="567" w:hanging="283"/>
        <w:jc w:val="both"/>
        <w:rPr>
          <w:rFonts w:ascii="Arial" w:hAnsi="Arial" w:cs="Arial"/>
          <w:color w:val="002060"/>
        </w:rPr>
      </w:pPr>
      <w:r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14:paraId="2493D83D" w14:textId="77777777" w:rsidR="007270B9" w:rsidRPr="003C1063" w:rsidRDefault="007270B9" w:rsidP="00A23CD4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14:paraId="56DB53D5" w14:textId="2628602F" w:rsidR="007270B9" w:rsidRPr="00A23CD4" w:rsidRDefault="007270B9" w:rsidP="00A23CD4">
      <w:pPr>
        <w:pStyle w:val="BlockText"/>
        <w:spacing w:after="0" w:line="240" w:lineRule="auto"/>
        <w:ind w:left="284" w:right="173"/>
        <w:jc w:val="both"/>
        <w:rPr>
          <w:rFonts w:ascii="Arial" w:hAnsi="Arial" w:cs="Arial"/>
          <w:color w:val="262626" w:themeColor="text1" w:themeTint="D9"/>
          <w:sz w:val="24"/>
          <w:szCs w:val="24"/>
          <w:lang w:val="en-GB"/>
        </w:rPr>
      </w:pPr>
      <w:r w:rsidRPr="00A23CD4">
        <w:rPr>
          <w:rFonts w:ascii="Arial" w:hAnsi="Arial" w:cs="Arial"/>
          <w:color w:val="262626" w:themeColor="text1" w:themeTint="D9"/>
          <w:sz w:val="24"/>
          <w:szCs w:val="24"/>
          <w:lang w:val="en-GB"/>
        </w:rPr>
        <w:t xml:space="preserve">If you are dissatisfied with the outcome of your complaint from either NHS England or this </w:t>
      </w:r>
      <w:r w:rsidR="00FD3828" w:rsidRPr="00A23CD4">
        <w:rPr>
          <w:rFonts w:ascii="Arial" w:hAnsi="Arial" w:cs="Arial"/>
          <w:color w:val="262626" w:themeColor="text1" w:themeTint="D9"/>
          <w:sz w:val="24"/>
          <w:szCs w:val="24"/>
          <w:lang w:val="en-GB"/>
        </w:rPr>
        <w:t>organisation,</w:t>
      </w:r>
      <w:r w:rsidRPr="00A23CD4">
        <w:rPr>
          <w:rFonts w:ascii="Arial" w:hAnsi="Arial" w:cs="Arial"/>
          <w:color w:val="262626" w:themeColor="text1" w:themeTint="D9"/>
          <w:sz w:val="24"/>
          <w:szCs w:val="24"/>
          <w:lang w:val="en-GB"/>
        </w:rPr>
        <w:t xml:space="preserve"> then you can escalate your complaint to</w:t>
      </w:r>
      <w:r w:rsidR="001B1037" w:rsidRPr="00A23CD4">
        <w:rPr>
          <w:rFonts w:ascii="Arial" w:hAnsi="Arial" w:cs="Arial"/>
          <w:color w:val="262626" w:themeColor="text1" w:themeTint="D9"/>
          <w:sz w:val="24"/>
          <w:szCs w:val="24"/>
          <w:lang w:val="en-GB"/>
        </w:rPr>
        <w:t xml:space="preserve"> Parliamentary Health Service Ombudsman (PHSO) at either: </w:t>
      </w:r>
    </w:p>
    <w:p w14:paraId="2AD594BC" w14:textId="77777777" w:rsidR="007270B9" w:rsidRPr="00A23CD4" w:rsidRDefault="007270B9" w:rsidP="00A23CD4">
      <w:pPr>
        <w:pStyle w:val="BlockText"/>
        <w:spacing w:after="0" w:line="240" w:lineRule="auto"/>
        <w:ind w:left="284" w:right="505"/>
        <w:jc w:val="both"/>
        <w:rPr>
          <w:rFonts w:ascii="Arial" w:hAnsi="Arial" w:cs="Arial"/>
          <w:color w:val="1F3864" w:themeColor="accent1" w:themeShade="80"/>
          <w:sz w:val="24"/>
          <w:szCs w:val="24"/>
          <w:lang w:val="en-GB"/>
        </w:rPr>
      </w:pPr>
      <w:r w:rsidRPr="00A23CD4">
        <w:rPr>
          <w:rFonts w:ascii="Arial" w:hAnsi="Arial" w:cs="Arial"/>
          <w:color w:val="1F3864" w:themeColor="accent1" w:themeShade="80"/>
          <w:sz w:val="24"/>
          <w:szCs w:val="24"/>
          <w:lang w:val="en-GB"/>
        </w:rPr>
        <w:t>Milbank Tower</w:t>
      </w:r>
    </w:p>
    <w:p w14:paraId="5EB7AD23" w14:textId="77777777" w:rsidR="007270B9" w:rsidRPr="00A23CD4" w:rsidRDefault="007270B9" w:rsidP="00A23CD4">
      <w:pPr>
        <w:pStyle w:val="BlockText"/>
        <w:spacing w:after="0" w:line="240" w:lineRule="auto"/>
        <w:ind w:left="284" w:right="505"/>
        <w:jc w:val="both"/>
        <w:rPr>
          <w:rFonts w:ascii="Arial" w:hAnsi="Arial" w:cs="Arial"/>
          <w:color w:val="1F3864" w:themeColor="accent1" w:themeShade="80"/>
          <w:sz w:val="24"/>
          <w:szCs w:val="24"/>
          <w:lang w:val="en-GB"/>
        </w:rPr>
      </w:pPr>
      <w:r w:rsidRPr="00A23CD4">
        <w:rPr>
          <w:rFonts w:ascii="Arial" w:hAnsi="Arial" w:cs="Arial"/>
          <w:color w:val="1F3864" w:themeColor="accent1" w:themeShade="80"/>
          <w:sz w:val="24"/>
          <w:szCs w:val="24"/>
          <w:lang w:val="en-GB"/>
        </w:rPr>
        <w:t>Milbank</w:t>
      </w:r>
    </w:p>
    <w:p w14:paraId="477A0470" w14:textId="77777777" w:rsidR="007270B9" w:rsidRPr="00A23CD4" w:rsidRDefault="007270B9" w:rsidP="00A23CD4">
      <w:pPr>
        <w:pStyle w:val="BlockText"/>
        <w:spacing w:after="0" w:line="240" w:lineRule="auto"/>
        <w:ind w:left="284" w:right="505"/>
        <w:jc w:val="both"/>
        <w:rPr>
          <w:rFonts w:ascii="Arial" w:hAnsi="Arial" w:cs="Arial"/>
          <w:color w:val="1F3864" w:themeColor="accent1" w:themeShade="80"/>
          <w:sz w:val="24"/>
          <w:szCs w:val="24"/>
          <w:lang w:val="en-GB"/>
        </w:rPr>
      </w:pPr>
      <w:r w:rsidRPr="00A23CD4">
        <w:rPr>
          <w:rFonts w:ascii="Arial" w:hAnsi="Arial" w:cs="Arial"/>
          <w:color w:val="1F3864" w:themeColor="accent1" w:themeShade="80"/>
          <w:sz w:val="24"/>
          <w:szCs w:val="24"/>
          <w:lang w:val="en-GB"/>
        </w:rPr>
        <w:t>London</w:t>
      </w:r>
    </w:p>
    <w:p w14:paraId="2F0905AB" w14:textId="77777777" w:rsidR="007270B9" w:rsidRPr="00A23CD4" w:rsidRDefault="007270B9" w:rsidP="00A23CD4">
      <w:pPr>
        <w:pStyle w:val="BlockText"/>
        <w:spacing w:after="0" w:line="240" w:lineRule="auto"/>
        <w:ind w:left="284" w:right="505"/>
        <w:jc w:val="both"/>
        <w:rPr>
          <w:rFonts w:ascii="Arial" w:hAnsi="Arial" w:cs="Arial"/>
          <w:color w:val="1F3864" w:themeColor="accent1" w:themeShade="80"/>
          <w:sz w:val="24"/>
          <w:szCs w:val="24"/>
          <w:lang w:val="en-GB"/>
        </w:rPr>
      </w:pPr>
      <w:r w:rsidRPr="00A23CD4">
        <w:rPr>
          <w:rFonts w:ascii="Arial" w:hAnsi="Arial" w:cs="Arial"/>
          <w:color w:val="1F3864" w:themeColor="accent1" w:themeShade="80"/>
          <w:sz w:val="24"/>
          <w:szCs w:val="24"/>
          <w:lang w:val="en-GB"/>
        </w:rPr>
        <w:t>SW1P 4QP</w:t>
      </w:r>
    </w:p>
    <w:p w14:paraId="35AD5E73" w14:textId="77777777" w:rsidR="00A23CD4" w:rsidRPr="00A23CD4" w:rsidRDefault="00A23CD4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16"/>
          <w:szCs w:val="16"/>
        </w:rPr>
      </w:pPr>
    </w:p>
    <w:p w14:paraId="082B47D1" w14:textId="731114C7" w:rsidR="007270B9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or</w:t>
      </w:r>
    </w:p>
    <w:p w14:paraId="64089EAE" w14:textId="77777777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16"/>
          <w:szCs w:val="16"/>
        </w:rPr>
      </w:pPr>
    </w:p>
    <w:p w14:paraId="74EAA46D" w14:textId="15F287EC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Citygate</w:t>
      </w:r>
    </w:p>
    <w:p w14:paraId="14552A00" w14:textId="25A64B5B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Mosley Street</w:t>
      </w:r>
    </w:p>
    <w:p w14:paraId="77A5B347" w14:textId="788309F3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Manchester</w:t>
      </w:r>
    </w:p>
    <w:p w14:paraId="56219E9F" w14:textId="3DBD0C1B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M2 3HQ</w:t>
      </w:r>
    </w:p>
    <w:p w14:paraId="18864A1E" w14:textId="77777777" w:rsidR="001B1037" w:rsidRPr="00A23CD4" w:rsidRDefault="001B1037" w:rsidP="00A23CD4">
      <w:pPr>
        <w:pStyle w:val="BlockText"/>
        <w:spacing w:after="0" w:line="240" w:lineRule="auto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</w:p>
    <w:p w14:paraId="7F6ED678" w14:textId="77777777" w:rsidR="007270B9" w:rsidRPr="00A23CD4" w:rsidRDefault="007270B9" w:rsidP="00A23CD4">
      <w:pPr>
        <w:pStyle w:val="BlockText"/>
        <w:spacing w:after="0"/>
        <w:ind w:left="567" w:right="505" w:hanging="283"/>
        <w:jc w:val="both"/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</w:pPr>
      <w:r w:rsidRPr="00A23CD4">
        <w:rPr>
          <w:rStyle w:val="Hyperlink"/>
          <w:rFonts w:ascii="Arial" w:hAnsi="Arial" w:cs="Arial"/>
          <w:color w:val="1F3864" w:themeColor="accent1" w:themeShade="80"/>
          <w:sz w:val="24"/>
          <w:szCs w:val="24"/>
        </w:rPr>
        <w:t>Tel: 0345 015 4033</w:t>
      </w:r>
    </w:p>
    <w:p w14:paraId="5A26A69D" w14:textId="4B9CB095" w:rsidR="007270B9" w:rsidRPr="00A23CD4" w:rsidRDefault="00791FC2" w:rsidP="00A23CD4">
      <w:pPr>
        <w:pStyle w:val="BlockText"/>
        <w:spacing w:after="0"/>
        <w:ind w:left="567" w:right="505" w:hanging="283"/>
        <w:jc w:val="both"/>
        <w:rPr>
          <w:rStyle w:val="Hyperlink"/>
          <w:rFonts w:ascii="Arial" w:hAnsi="Arial" w:cs="Arial"/>
          <w:kern w:val="0"/>
          <w:sz w:val="24"/>
          <w:szCs w:val="24"/>
          <w:lang w:val="en-GB" w:eastAsia="en-GB"/>
          <w14:ligatures w14:val="none"/>
        </w:rPr>
      </w:pPr>
      <w:hyperlink r:id="rId8" w:history="1">
        <w:r w:rsidR="007270B9" w:rsidRPr="00A23CD4">
          <w:rPr>
            <w:rStyle w:val="Hyperlink"/>
            <w:rFonts w:ascii="Arial" w:hAnsi="Arial" w:cs="Arial"/>
            <w:kern w:val="0"/>
            <w:sz w:val="24"/>
            <w:szCs w:val="24"/>
            <w:lang w:val="en-GB" w:eastAsia="en-GB"/>
            <w14:ligatures w14:val="none"/>
          </w:rPr>
          <w:t>www.ombudsman.org.uk</w:t>
        </w:r>
      </w:hyperlink>
    </w:p>
    <w:p w14:paraId="6268A7B0" w14:textId="552F1FC4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BE281AA" w14:textId="0B9519F9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212164F" w14:textId="3AEEBF06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423196D" w14:textId="0193590C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CCBCAF3" w14:textId="0135787E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B5C18D4" w14:textId="1731752B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5F68A87E" w14:textId="4D14DA9D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F9A5BE2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00E28933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1BB4E15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1E6A7E14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4A544B72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72578CC9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8F4BF2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03AC47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018B191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71210893" w14:textId="2460E2F5" w:rsidR="007270B9" w:rsidRPr="00A23CD4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A23CD4">
        <w:rPr>
          <w:rFonts w:ascii="Arial" w:hAnsi="Arial" w:cs="Arial"/>
          <w:color w:val="auto"/>
          <w:sz w:val="24"/>
          <w:szCs w:val="24"/>
          <w:lang w:val="en-GB"/>
        </w:rPr>
        <w:t>Wallingbrook Health Group</w:t>
      </w:r>
    </w:p>
    <w:p w14:paraId="1B52E3EB" w14:textId="77777777" w:rsidR="007270B9" w:rsidRPr="00A23CD4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A23CD4">
        <w:rPr>
          <w:rFonts w:ascii="Arial" w:hAnsi="Arial" w:cs="Arial"/>
          <w:color w:val="auto"/>
          <w:sz w:val="24"/>
          <w:szCs w:val="24"/>
          <w:lang w:val="en-GB"/>
        </w:rPr>
        <w:t>Back Lane</w:t>
      </w:r>
    </w:p>
    <w:p w14:paraId="55FE733B" w14:textId="77777777" w:rsidR="007270B9" w:rsidRPr="00A23CD4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A23CD4">
        <w:rPr>
          <w:rFonts w:ascii="Arial" w:hAnsi="Arial" w:cs="Arial"/>
          <w:color w:val="auto"/>
          <w:sz w:val="24"/>
          <w:szCs w:val="24"/>
          <w:lang w:val="en-GB"/>
        </w:rPr>
        <w:t>Chulmleigh, Devon EX18 7DL</w:t>
      </w:r>
    </w:p>
    <w:p w14:paraId="1D977581" w14:textId="4E772C55" w:rsidR="007270B9" w:rsidRPr="00A23CD4" w:rsidRDefault="007270B9" w:rsidP="003539EB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A23CD4">
        <w:rPr>
          <w:rFonts w:ascii="Arial" w:hAnsi="Arial" w:cs="Arial"/>
          <w:color w:val="auto"/>
          <w:sz w:val="24"/>
          <w:szCs w:val="24"/>
          <w:lang w:val="en-GB"/>
        </w:rPr>
        <w:t xml:space="preserve">Telephone: 01769 580295 </w:t>
      </w:r>
    </w:p>
    <w:p w14:paraId="01865D24" w14:textId="0B3F9DDD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2297DFDC" w14:textId="3773B3B8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6CC2678B" w14:textId="790B2732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BEB91FD" w14:textId="574C753E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47C82652" w14:textId="6472E8DC" w:rsidR="007270B9" w:rsidRDefault="007270B9" w:rsidP="001B1037">
      <w:pPr>
        <w:pStyle w:val="ReturnAddress"/>
        <w:rPr>
          <w:rFonts w:ascii="Arial" w:hAnsi="Arial" w:cs="Arial"/>
          <w:lang w:val="en-GB"/>
        </w:rPr>
      </w:pPr>
    </w:p>
    <w:p w14:paraId="275C3BEE" w14:textId="1873E48B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1135C1F" w14:textId="4EC1F0DF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01426C2A" w14:textId="6C3C2FDE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C0542B9" w14:textId="50DD87F3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DB55FD3" w14:textId="122A06BC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</w:tblPr>
      <w:tblGrid>
        <w:gridCol w:w="14428"/>
      </w:tblGrid>
      <w:tr w:rsidR="007270B9" w:rsidRPr="00C0634C" w14:paraId="4ABFEE82" w14:textId="77777777" w:rsidTr="00314283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left w:w="720" w:type="dxa"/>
            </w:tcMar>
          </w:tcPr>
          <w:p w14:paraId="757A49E9" w14:textId="77777777" w:rsidR="007270B9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</w:p>
          <w:p w14:paraId="314AB1F3" w14:textId="6ED17B76" w:rsidR="007270B9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Complaint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4DBB1467" w14:textId="5189DF5C" w:rsidR="007270B9" w:rsidRPr="00C0634C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Process</w:t>
            </w:r>
          </w:p>
          <w:p w14:paraId="1D0A938E" w14:textId="77777777" w:rsidR="007270B9" w:rsidRPr="00C0634C" w:rsidRDefault="007270B9" w:rsidP="00314283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Wallingbrook Health Group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39CB63C9" w14:textId="77777777" w:rsidR="007270B9" w:rsidRPr="00C0634C" w:rsidRDefault="007270B9" w:rsidP="00314283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</w:rPr>
              <w:drawing>
                <wp:inline distT="0" distB="0" distL="0" distR="0" wp14:anchorId="402DDEEC" wp14:editId="2AEDBABD">
                  <wp:extent cx="2469600" cy="3686867"/>
                  <wp:effectExtent l="0" t="0" r="698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00" cy="3686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10F0B" w14:textId="6F726D26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0B456694" w14:textId="77777777" w:rsidR="007270B9" w:rsidRPr="00A23CD4" w:rsidRDefault="007270B9" w:rsidP="007270B9">
      <w:pPr>
        <w:rPr>
          <w:rFonts w:ascii="Arial" w:hAnsi="Arial" w:cs="Arial"/>
        </w:rPr>
      </w:pPr>
      <w:r w:rsidRPr="00C0634C">
        <w:rPr>
          <w:rFonts w:ascii="Arial" w:hAnsi="Arial" w:cs="Arial"/>
          <w:noProof/>
        </w:rPr>
        <w:lastRenderedPageBreak/>
        <w:drawing>
          <wp:inline distT="0" distB="0" distL="0" distR="0" wp14:anchorId="613064DA" wp14:editId="0DE33236">
            <wp:extent cx="2649600" cy="1767600"/>
            <wp:effectExtent l="0" t="0" r="0" b="4445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17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26B74" w14:textId="77777777" w:rsidR="007270B9" w:rsidRPr="00A23CD4" w:rsidRDefault="007270B9" w:rsidP="007270B9">
      <w:pPr>
        <w:rPr>
          <w:rFonts w:ascii="Arial" w:hAnsi="Arial" w:cs="Arial"/>
          <w:color w:val="1F3864" w:themeColor="accent1" w:themeShade="80"/>
        </w:rPr>
      </w:pPr>
    </w:p>
    <w:p w14:paraId="6776000A" w14:textId="3E4EADBD" w:rsidR="007270B9" w:rsidRPr="00A23CD4" w:rsidRDefault="007270B9" w:rsidP="00A23CD4">
      <w:pPr>
        <w:spacing w:after="12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Talk to us</w:t>
      </w:r>
    </w:p>
    <w:p w14:paraId="570C4B80" w14:textId="45AD2665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Every patient has the right to make a complaint about the treatment or care they have received at Wallingbrook Health Group. </w:t>
      </w:r>
    </w:p>
    <w:p w14:paraId="0DB95462" w14:textId="42775ADE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14:paraId="6B87593D" w14:textId="6B6C0D97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Who to talk to</w:t>
      </w:r>
    </w:p>
    <w:p w14:paraId="62A120C7" w14:textId="77777777" w:rsid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Most complaints can be resolved at a local level. Please speak to a member of staff if you have a complaint; our staff are trained to handle complaints.  </w:t>
      </w:r>
    </w:p>
    <w:p w14:paraId="49986C23" w14:textId="5A73665B" w:rsidR="00A23CD4" w:rsidRPr="00A23CD4" w:rsidRDefault="00A23CD4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>A</w:t>
      </w:r>
      <w:r w:rsidR="007270B9" w:rsidRPr="00A23CD4">
        <w:rPr>
          <w:rFonts w:ascii="Arial" w:hAnsi="Arial" w:cs="Arial"/>
        </w:rPr>
        <w:t xml:space="preserve">lternatively, ask to speak to the </w:t>
      </w:r>
      <w:r w:rsidRPr="00A23CD4">
        <w:rPr>
          <w:rFonts w:ascii="Arial" w:hAnsi="Arial" w:cs="Arial"/>
        </w:rPr>
        <w:t>C</w:t>
      </w:r>
      <w:r w:rsidR="007270B9" w:rsidRPr="00A23CD4">
        <w:rPr>
          <w:rFonts w:ascii="Arial" w:hAnsi="Arial" w:cs="Arial"/>
        </w:rPr>
        <w:t xml:space="preserve">omplaint </w:t>
      </w:r>
      <w:r w:rsidRPr="00A23CD4">
        <w:rPr>
          <w:rFonts w:ascii="Arial" w:hAnsi="Arial" w:cs="Arial"/>
        </w:rPr>
        <w:t>M</w:t>
      </w:r>
      <w:r w:rsidR="007270B9" w:rsidRPr="00A23CD4">
        <w:rPr>
          <w:rFonts w:ascii="Arial" w:hAnsi="Arial" w:cs="Arial"/>
        </w:rPr>
        <w:t>anager, Lucy Harris</w:t>
      </w:r>
      <w:r w:rsidRPr="00A23CD4">
        <w:rPr>
          <w:rFonts w:ascii="Arial" w:hAnsi="Arial" w:cs="Arial"/>
        </w:rPr>
        <w:t>,</w:t>
      </w:r>
      <w:r w:rsidR="007270B9" w:rsidRPr="00A23CD4">
        <w:rPr>
          <w:rFonts w:ascii="Arial" w:hAnsi="Arial" w:cs="Arial"/>
        </w:rPr>
        <w:t xml:space="preserve"> Managing Partner. If for any reason you </w:t>
      </w:r>
      <w:r w:rsidR="007270B9" w:rsidRPr="00A23CD4">
        <w:rPr>
          <w:rFonts w:ascii="Arial" w:hAnsi="Arial" w:cs="Arial"/>
        </w:rPr>
        <w:t xml:space="preserve">do not want to speak to a member of our staff, you can </w:t>
      </w:r>
      <w:r w:rsidRPr="00A23CD4">
        <w:rPr>
          <w:rFonts w:ascii="Arial" w:hAnsi="Arial" w:cs="Arial"/>
        </w:rPr>
        <w:t>make a complaint about the services to NHS Devon.</w:t>
      </w:r>
    </w:p>
    <w:p w14:paraId="6FEFF611" w14:textId="0490DE8E" w:rsidR="00A23CD4" w:rsidRPr="00A23CD4" w:rsidRDefault="00A23CD4" w:rsidP="00A23CD4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425563"/>
        </w:rPr>
      </w:pPr>
      <w:r w:rsidRPr="00A23CD4">
        <w:rPr>
          <w:rFonts w:ascii="Arial" w:hAnsi="Arial" w:cs="Arial"/>
          <w:b/>
          <w:bCs/>
        </w:rPr>
        <w:t>NHS Devon Contact Details</w:t>
      </w:r>
    </w:p>
    <w:p w14:paraId="63BFEBCD" w14:textId="77777777" w:rsidR="00A23CD4" w:rsidRPr="00A23CD4" w:rsidRDefault="00A23CD4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  <w:b/>
          <w:bCs/>
        </w:rPr>
        <w:t>Telephone:</w:t>
      </w:r>
      <w:r w:rsidRPr="00A23CD4">
        <w:rPr>
          <w:rFonts w:ascii="Arial" w:hAnsi="Arial" w:cs="Arial"/>
        </w:rPr>
        <w:t xml:space="preserve"> 0300 123 1672</w:t>
      </w:r>
    </w:p>
    <w:p w14:paraId="54C5FA9A" w14:textId="77777777" w:rsidR="00A23CD4" w:rsidRPr="00A23CD4" w:rsidRDefault="00A23CD4" w:rsidP="00A23CD4">
      <w:pPr>
        <w:spacing w:after="120"/>
        <w:jc w:val="both"/>
        <w:rPr>
          <w:rFonts w:ascii="Arial" w:hAnsi="Arial" w:cs="Arial"/>
          <w:color w:val="425563"/>
        </w:rPr>
      </w:pPr>
      <w:r w:rsidRPr="00A23CD4">
        <w:rPr>
          <w:rFonts w:ascii="Arial" w:hAnsi="Arial" w:cs="Arial"/>
          <w:b/>
          <w:bCs/>
        </w:rPr>
        <w:t>Email</w:t>
      </w:r>
      <w:r w:rsidRPr="00A23CD4">
        <w:rPr>
          <w:rFonts w:ascii="Arial" w:hAnsi="Arial" w:cs="Arial"/>
          <w:color w:val="425563"/>
        </w:rPr>
        <w:t xml:space="preserve">: </w:t>
      </w:r>
      <w:hyperlink r:id="rId11" w:history="1">
        <w:r w:rsidRPr="00A23CD4">
          <w:rPr>
            <w:rStyle w:val="Hyperlink"/>
            <w:rFonts w:ascii="Arial" w:hAnsi="Arial" w:cs="Arial"/>
          </w:rPr>
          <w:t>d-icb.patientexperience@nhs.net</w:t>
        </w:r>
      </w:hyperlink>
    </w:p>
    <w:p w14:paraId="4A2BCBB3" w14:textId="77777777" w:rsidR="00A23CD4" w:rsidRPr="00A23CD4" w:rsidRDefault="00A23CD4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  <w:b/>
          <w:bCs/>
        </w:rPr>
        <w:t>Post:</w:t>
      </w:r>
      <w:r w:rsidRPr="00A23CD4">
        <w:rPr>
          <w:rFonts w:ascii="Arial" w:hAnsi="Arial" w:cs="Arial"/>
        </w:rPr>
        <w:t xml:space="preserve"> Patient Advice and Complaints team, Pomona House, Edginswell Business Park, Oak View Close Torquay TQ2 7FF</w:t>
      </w:r>
    </w:p>
    <w:p w14:paraId="263B22E2" w14:textId="77777777" w:rsidR="00A23CD4" w:rsidRPr="00A23CD4" w:rsidRDefault="00A23CD4" w:rsidP="00A23CD4">
      <w:pPr>
        <w:spacing w:after="120"/>
        <w:jc w:val="both"/>
        <w:rPr>
          <w:rFonts w:ascii="Arial" w:hAnsi="Arial" w:cs="Arial"/>
          <w:b/>
          <w:bCs/>
        </w:rPr>
      </w:pPr>
      <w:r w:rsidRPr="00A23CD4">
        <w:rPr>
          <w:rFonts w:ascii="Arial" w:hAnsi="Arial" w:cs="Arial"/>
          <w:b/>
          <w:bCs/>
        </w:rPr>
        <w:t>Contact information:</w:t>
      </w:r>
    </w:p>
    <w:p w14:paraId="63523232" w14:textId="70A24CD9" w:rsidR="00A23CD4" w:rsidRPr="00A23CD4" w:rsidRDefault="00A23CD4" w:rsidP="00A23CD4">
      <w:pPr>
        <w:spacing w:after="120"/>
        <w:jc w:val="both"/>
        <w:rPr>
          <w:rFonts w:ascii="Arial" w:hAnsi="Arial" w:cs="Arial"/>
          <w:b/>
          <w:bCs/>
        </w:rPr>
      </w:pPr>
      <w:r w:rsidRPr="00A23CD4">
        <w:rPr>
          <w:rFonts w:ascii="Arial" w:hAnsi="Arial" w:cs="Arial"/>
        </w:rPr>
        <w:t>Can also be found on the One Devon website: </w:t>
      </w:r>
    </w:p>
    <w:p w14:paraId="1EA9ADEB" w14:textId="6038A579" w:rsidR="007270B9" w:rsidRPr="00A23CD4" w:rsidRDefault="00791FC2" w:rsidP="00A23CD4">
      <w:pPr>
        <w:spacing w:after="120"/>
        <w:jc w:val="both"/>
        <w:rPr>
          <w:rStyle w:val="Hyperlink"/>
          <w:rFonts w:ascii="Arial" w:hAnsi="Arial" w:cs="Arial"/>
          <w:color w:val="002060"/>
        </w:rPr>
      </w:pPr>
      <w:hyperlink r:id="rId12" w:history="1">
        <w:r w:rsidR="00A23CD4" w:rsidRPr="00A23CD4">
          <w:rPr>
            <w:rStyle w:val="Hyperlink"/>
            <w:rFonts w:ascii="Arial" w:hAnsi="Arial" w:cs="Arial"/>
          </w:rPr>
          <w:t>www.onedevon.org.uk/contact-us/patient-advice-and-complaints/</w:t>
        </w:r>
      </w:hyperlink>
    </w:p>
    <w:p w14:paraId="6E81DDC5" w14:textId="2198B692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A complaint can be made verbally or in writing.  A complaints form is available from reception. </w:t>
      </w:r>
    </w:p>
    <w:p w14:paraId="0725C0C3" w14:textId="2FB7EF03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Time frames for complaints</w:t>
      </w:r>
    </w:p>
    <w:p w14:paraId="4E60A56C" w14:textId="77777777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14:paraId="3931EE39" w14:textId="372314D4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The complaints manager will respond to all complaints within three business days. </w:t>
      </w:r>
      <w:r w:rsidRPr="00A23CD4">
        <w:rPr>
          <w:rFonts w:ascii="Arial" w:hAnsi="Arial" w:cs="Arial"/>
        </w:rPr>
        <w:t>We will aim to investigate and provide you with the findings as soon as we can and will provide regular updates regarding the investigation of your complaint.</w:t>
      </w:r>
    </w:p>
    <w:p w14:paraId="2F74C511" w14:textId="5226F92E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Investigating complaints</w:t>
      </w:r>
    </w:p>
    <w:p w14:paraId="2DB8DF44" w14:textId="77777777" w:rsidR="007270B9" w:rsidRPr="007270B9" w:rsidRDefault="007270B9" w:rsidP="00A23C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23CD4">
        <w:rPr>
          <w:rFonts w:ascii="Arial" w:hAnsi="Arial" w:cs="Arial"/>
          <w:sz w:val="22"/>
          <w:szCs w:val="22"/>
        </w:rPr>
        <w:t>Wallingbrook Health Group will investigate all complaints effectively and in conjunction with extant legislation and guidance</w:t>
      </w:r>
      <w:r w:rsidRPr="007270B9">
        <w:rPr>
          <w:rFonts w:ascii="Arial" w:hAnsi="Arial" w:cs="Arial"/>
          <w:sz w:val="22"/>
          <w:szCs w:val="22"/>
        </w:rPr>
        <w:t xml:space="preserve">.   </w:t>
      </w:r>
    </w:p>
    <w:p w14:paraId="2859EF1F" w14:textId="77777777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Confidentiality</w:t>
      </w:r>
    </w:p>
    <w:p w14:paraId="1D3753AD" w14:textId="77777777" w:rsidR="007270B9" w:rsidRPr="00A23CD4" w:rsidRDefault="007270B9" w:rsidP="00A23CD4">
      <w:pPr>
        <w:spacing w:after="120"/>
        <w:jc w:val="both"/>
        <w:rPr>
          <w:rFonts w:ascii="Arial" w:hAnsi="Arial" w:cs="Arial"/>
        </w:rPr>
      </w:pPr>
      <w:r w:rsidRPr="00A23CD4">
        <w:rPr>
          <w:rFonts w:ascii="Arial" w:hAnsi="Arial" w:cs="Arial"/>
        </w:rPr>
        <w:t xml:space="preserve">Wallingbrook Health Group will ensure that all complaints are investigated with the utmost confidentiality and that any documents are held separately from the patient’s healthcare record. </w:t>
      </w:r>
    </w:p>
    <w:p w14:paraId="6E91DE66" w14:textId="77777777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Third party complaints</w:t>
      </w:r>
    </w:p>
    <w:p w14:paraId="6D0DE4FD" w14:textId="77777777" w:rsidR="007270B9" w:rsidRPr="007270B9" w:rsidRDefault="007270B9" w:rsidP="00A23C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23CD4">
        <w:rPr>
          <w:rFonts w:ascii="Arial" w:hAnsi="Arial" w:cs="Arial"/>
        </w:rPr>
        <w:t>Wallingbrook Health Group allows a third party to make a complaint on behalf of a patient. The patient must provide consent for</w:t>
      </w:r>
      <w:r w:rsidRPr="007270B9">
        <w:rPr>
          <w:rFonts w:ascii="Arial" w:hAnsi="Arial" w:cs="Arial"/>
          <w:sz w:val="22"/>
          <w:szCs w:val="22"/>
        </w:rPr>
        <w:t xml:space="preserve"> them to do so.  A third-party patient complaint form is available from reception.</w:t>
      </w:r>
    </w:p>
    <w:p w14:paraId="4916BA84" w14:textId="77777777" w:rsidR="007270B9" w:rsidRPr="00A23CD4" w:rsidRDefault="007270B9" w:rsidP="00A23CD4">
      <w:pPr>
        <w:spacing w:after="120"/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23CD4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Final response</w:t>
      </w:r>
    </w:p>
    <w:p w14:paraId="17DECAD2" w14:textId="761586A0" w:rsidR="00BF4417" w:rsidRPr="007270B9" w:rsidRDefault="007270B9" w:rsidP="00A23CD4">
      <w:pPr>
        <w:spacing w:after="120"/>
        <w:jc w:val="both"/>
        <w:rPr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>Wallingbrook Health Group will issue a final formal response to all complainants which will provide full details and the outcome of the complaint. Further information is detailed in our organisation policy.</w:t>
      </w:r>
    </w:p>
    <w:sectPr w:rsidR="00BF4417" w:rsidRPr="007270B9" w:rsidSect="007270B9">
      <w:pgSz w:w="16838" w:h="11906" w:orient="landscape"/>
      <w:pgMar w:top="1440" w:right="820" w:bottom="1440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BD62F2"/>
    <w:multiLevelType w:val="multilevel"/>
    <w:tmpl w:val="76B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443638">
    <w:abstractNumId w:val="0"/>
  </w:num>
  <w:num w:numId="2" w16cid:durableId="167025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B9"/>
    <w:rsid w:val="00094F1F"/>
    <w:rsid w:val="001B1037"/>
    <w:rsid w:val="003539EB"/>
    <w:rsid w:val="00695E32"/>
    <w:rsid w:val="007270B9"/>
    <w:rsid w:val="00791FC2"/>
    <w:rsid w:val="00A23CD4"/>
    <w:rsid w:val="00AE5A0C"/>
    <w:rsid w:val="00BF4417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608F"/>
  <w15:chartTrackingRefBased/>
  <w15:docId w15:val="{5392C1F8-31D9-447A-94CD-E3219B6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0B9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7270B9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7270B9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7270B9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7270B9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7270B9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7270B9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7270B9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7270B9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7270B9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72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http://www.onedevon.org.uk/contact-us/patient-advice-and-complai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hyperlink" Target="mailto:d-icb.patientexperience@nhs.net" TargetMode="External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GUARD, Linsie (WALLINGBROOK HEALTH CENTRE)</dc:creator>
  <cp:keywords/>
  <dc:description/>
  <cp:lastModifiedBy>STEVENS, Tracey (WALLINGBROOK HEALTH CENTRE)</cp:lastModifiedBy>
  <cp:revision>2</cp:revision>
  <dcterms:created xsi:type="dcterms:W3CDTF">2023-07-05T07:54:00Z</dcterms:created>
  <dcterms:modified xsi:type="dcterms:W3CDTF">2023-07-05T07:54:00Z</dcterms:modified>
</cp:coreProperties>
</file>